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8D" w:rsidRPr="00A3098D" w:rsidRDefault="00F525A1" w:rsidP="004D4A5B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Объект: </w:t>
      </w:r>
      <w:r>
        <w:rPr>
          <w:rFonts w:ascii="Times New Roman" w:hAnsi="Times New Roman" w:cs="Times New Roman"/>
          <w:b/>
          <w:sz w:val="24"/>
          <w:highlight w:val="yellow"/>
        </w:rPr>
        <w:t>З</w:t>
      </w:r>
      <w:r w:rsidRPr="00F525A1">
        <w:rPr>
          <w:rFonts w:ascii="Times New Roman" w:hAnsi="Times New Roman" w:cs="Times New Roman"/>
          <w:b/>
          <w:sz w:val="24"/>
          <w:highlight w:val="yellow"/>
        </w:rPr>
        <w:t>дание атомной отрасли</w:t>
      </w:r>
    </w:p>
    <w:p w:rsidR="004D4A5B" w:rsidRDefault="004D4A5B" w:rsidP="004D4A5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расчёта строительных конструкций здания создана конечно-элементная модель в программном комплексе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Sofi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stik</w:t>
      </w:r>
      <w:proofErr w:type="spellEnd"/>
      <w:r w:rsidRPr="004D4A5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Расчётная модель приведена на рисунке 1.</w:t>
      </w:r>
    </w:p>
    <w:p w:rsidR="004D4A5B" w:rsidRDefault="004D4A5B" w:rsidP="004D4A5B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92930D5" wp14:editId="6751A83C">
            <wp:extent cx="4101689" cy="3524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5145" cy="355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5B" w:rsidRDefault="004D4A5B" w:rsidP="004D4A5B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1 – Расчётная модель здания малого реактора</w:t>
      </w:r>
    </w:p>
    <w:p w:rsidR="004D4A5B" w:rsidRDefault="004D4A5B" w:rsidP="004D4A5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Расчётная модель выполнена с использованием следующих конечных элементов для моделирования строительных конструкций:</w:t>
      </w:r>
    </w:p>
    <w:p w:rsidR="004D4A5B" w:rsidRDefault="004D4A5B" w:rsidP="004D4A5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оболочек – фундаментной плиты, перекрытий, покрытия, стен;</w:t>
      </w:r>
    </w:p>
    <w:p w:rsidR="004D4A5B" w:rsidRDefault="004D4A5B" w:rsidP="00AF73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стержней –</w:t>
      </w:r>
      <w:r w:rsidR="00ED04EB">
        <w:rPr>
          <w:rFonts w:ascii="Times New Roman" w:hAnsi="Times New Roman" w:cs="Times New Roman"/>
          <w:sz w:val="24"/>
        </w:rPr>
        <w:t xml:space="preserve"> балок перекрытий и покрытия,</w:t>
      </w:r>
      <w:r w:rsidR="00AF73CB">
        <w:rPr>
          <w:rFonts w:ascii="Times New Roman" w:hAnsi="Times New Roman" w:cs="Times New Roman"/>
          <w:sz w:val="24"/>
        </w:rPr>
        <w:t xml:space="preserve"> колонн;</w:t>
      </w:r>
    </w:p>
    <w:p w:rsidR="009A6BBB" w:rsidRDefault="002F6B29" w:rsidP="009A6BB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Габаритные размеры здания составляют 74,4х66,65 м.</w:t>
      </w:r>
      <w:r w:rsidR="00B67F40">
        <w:rPr>
          <w:rFonts w:ascii="Times New Roman" w:hAnsi="Times New Roman" w:cs="Times New Roman"/>
          <w:sz w:val="24"/>
        </w:rPr>
        <w:t xml:space="preserve"> Максимальная высота 44,7 м. Пролёт балок покрытия составляет 27,4 м. Расстояние по осям балок 1,8 м.</w:t>
      </w:r>
      <w:r w:rsidR="00A952C2">
        <w:rPr>
          <w:rFonts w:ascii="Times New Roman" w:hAnsi="Times New Roman" w:cs="Times New Roman"/>
          <w:sz w:val="24"/>
        </w:rPr>
        <w:t xml:space="preserve"> Высота балки 1,5 м, толщина плиты покрытия 0,4 м.</w:t>
      </w:r>
      <w:r w:rsidR="009A6BBB">
        <w:rPr>
          <w:rFonts w:ascii="Times New Roman" w:hAnsi="Times New Roman" w:cs="Times New Roman"/>
          <w:sz w:val="24"/>
        </w:rPr>
        <w:t xml:space="preserve"> </w:t>
      </w:r>
    </w:p>
    <w:p w:rsidR="009A6BBB" w:rsidRDefault="009A6BBB" w:rsidP="009A6BB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Армирование балок производится напрягаемой арматурой в виде арматурных пучков (3 пучка по 13 канатов каждый), прочностью на разрыв 1860 МПа со сцеплением с бетоном. </w:t>
      </w:r>
    </w:p>
    <w:p w:rsidR="009A6BBB" w:rsidRDefault="009A6BBB" w:rsidP="009A6BB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A50">
        <w:rPr>
          <w:rFonts w:ascii="Times New Roman" w:hAnsi="Times New Roman" w:cs="Times New Roman"/>
          <w:sz w:val="24"/>
          <w:szCs w:val="24"/>
        </w:rPr>
        <w:t xml:space="preserve">Используется сертифицированная российская система преднапряжения </w:t>
      </w:r>
      <w:r>
        <w:rPr>
          <w:rFonts w:ascii="Times New Roman" w:hAnsi="Times New Roman" w:cs="Times New Roman"/>
          <w:sz w:val="24"/>
          <w:szCs w:val="24"/>
        </w:rPr>
        <w:t xml:space="preserve">со сцеплением с бетоном </w:t>
      </w:r>
      <w:r w:rsidRPr="00285A50">
        <w:rPr>
          <w:rFonts w:ascii="Times New Roman" w:hAnsi="Times New Roman" w:cs="Times New Roman"/>
          <w:sz w:val="24"/>
          <w:szCs w:val="24"/>
        </w:rPr>
        <w:t>фирмы ООО "СТС" (Москва)</w:t>
      </w:r>
      <w:r>
        <w:rPr>
          <w:rFonts w:ascii="Times New Roman" w:hAnsi="Times New Roman" w:cs="Times New Roman"/>
          <w:sz w:val="24"/>
          <w:szCs w:val="24"/>
        </w:rPr>
        <w:t xml:space="preserve"> с натяжением «на бетон»</w:t>
      </w:r>
      <w:r w:rsidRPr="00285A50">
        <w:rPr>
          <w:rFonts w:ascii="Times New Roman" w:hAnsi="Times New Roman" w:cs="Times New Roman"/>
          <w:sz w:val="24"/>
          <w:szCs w:val="24"/>
        </w:rPr>
        <w:t>.</w:t>
      </w:r>
    </w:p>
    <w:p w:rsidR="002F6B29" w:rsidRDefault="002F6B29" w:rsidP="009A6B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расчёта получены значения собственных частот колебаний конструкции, первые три частоты соответственно равны: </w:t>
      </w:r>
    </w:p>
    <w:p w:rsidR="002F6B29" w:rsidRDefault="002F6B29" w:rsidP="002F6B29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2F6B29">
        <w:rPr>
          <w:rFonts w:ascii="Times New Roman" w:hAnsi="Times New Roman" w:cs="Times New Roman"/>
          <w:position w:val="-12"/>
          <w:sz w:val="24"/>
        </w:rPr>
        <w:object w:dxaOrig="5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18.75pt" o:ole="">
            <v:imagedata r:id="rId5" o:title=""/>
          </v:shape>
          <o:OLEObject Type="Embed" ProgID="Equation.DSMT4" ShapeID="_x0000_i1025" DrawAspect="Content" ObjectID="_1640947583" r:id="rId6"/>
        </w:object>
      </w:r>
    </w:p>
    <w:p w:rsidR="002F6B29" w:rsidRDefault="002F6B29" w:rsidP="002F6B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Первая форма собственных колебаний приведена на рисунке 2.</w:t>
      </w:r>
    </w:p>
    <w:p w:rsidR="002F6B29" w:rsidRDefault="002F6B29" w:rsidP="002F6B29">
      <w:pPr>
        <w:spacing w:line="240" w:lineRule="auto"/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FB3E99" wp14:editId="1610588A">
            <wp:extent cx="2742048" cy="18573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4652" cy="188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ABD" w:rsidRPr="00217ABD">
        <w:rPr>
          <w:noProof/>
          <w:lang w:eastAsia="ru-RU"/>
        </w:rPr>
        <w:t xml:space="preserve"> </w:t>
      </w:r>
      <w:r w:rsidR="00217ABD">
        <w:rPr>
          <w:noProof/>
          <w:lang w:eastAsia="ru-RU"/>
        </w:rPr>
        <w:drawing>
          <wp:inline distT="0" distB="0" distL="0" distR="0" wp14:anchorId="36D0ED10" wp14:editId="44FC22BC">
            <wp:extent cx="2385428" cy="18649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1748" cy="190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BD" w:rsidRPr="00217ABD" w:rsidRDefault="00217ABD" w:rsidP="00217AB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Рисунок 2 – Первая форма собственных колебаний</w:t>
      </w:r>
    </w:p>
    <w:p w:rsidR="006A2AA8" w:rsidRDefault="004D4A5B" w:rsidP="004D4A5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Расчёт конструкций проведён с учётом нагрузок нормальной эксплуатации и одного из особых воздействий (падение самолёта). Расчётные значения нагрузок</w:t>
      </w:r>
      <w:r w:rsidR="00ED04EB">
        <w:rPr>
          <w:rFonts w:ascii="Times New Roman" w:hAnsi="Times New Roman" w:cs="Times New Roman"/>
          <w:sz w:val="24"/>
        </w:rPr>
        <w:t xml:space="preserve"> нормальной эксплуатации</w:t>
      </w:r>
      <w:r>
        <w:rPr>
          <w:rFonts w:ascii="Times New Roman" w:hAnsi="Times New Roman" w:cs="Times New Roman"/>
          <w:sz w:val="24"/>
        </w:rPr>
        <w:t xml:space="preserve"> п</w:t>
      </w:r>
      <w:r w:rsidR="00ED04EB">
        <w:rPr>
          <w:rFonts w:ascii="Times New Roman" w:hAnsi="Times New Roman" w:cs="Times New Roman"/>
          <w:sz w:val="24"/>
        </w:rPr>
        <w:t>риняты согласно СП 20.13330.2016</w:t>
      </w:r>
      <w:r>
        <w:rPr>
          <w:rFonts w:ascii="Times New Roman" w:hAnsi="Times New Roman" w:cs="Times New Roman"/>
          <w:sz w:val="24"/>
        </w:rPr>
        <w:t xml:space="preserve"> «Нагрузки и воздействия».</w:t>
      </w:r>
    </w:p>
    <w:p w:rsidR="00217ABD" w:rsidRDefault="00B67F40" w:rsidP="004D4A5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Особое сочетание (нагрузка от падения самолёта) при расчёте покрытия стало определяющим. Необходимые исходные параметры для моделирования нагрузки </w:t>
      </w:r>
      <w:proofErr w:type="gramStart"/>
      <w:r>
        <w:rPr>
          <w:rFonts w:ascii="Times New Roman" w:hAnsi="Times New Roman" w:cs="Times New Roman"/>
          <w:sz w:val="24"/>
        </w:rPr>
        <w:t>при  падении</w:t>
      </w:r>
      <w:proofErr w:type="gramEnd"/>
      <w:r>
        <w:rPr>
          <w:rFonts w:ascii="Times New Roman" w:hAnsi="Times New Roman" w:cs="Times New Roman"/>
          <w:sz w:val="24"/>
        </w:rPr>
        <w:t xml:space="preserve"> самолёта взяты по данным книги «Экстремальные воздействия на сооружения», </w:t>
      </w:r>
      <w:proofErr w:type="spellStart"/>
      <w:r>
        <w:rPr>
          <w:rFonts w:ascii="Times New Roman" w:hAnsi="Times New Roman" w:cs="Times New Roman"/>
          <w:sz w:val="24"/>
        </w:rPr>
        <w:t>Бирбраер</w:t>
      </w:r>
      <w:proofErr w:type="spellEnd"/>
      <w:r>
        <w:rPr>
          <w:rFonts w:ascii="Times New Roman" w:hAnsi="Times New Roman" w:cs="Times New Roman"/>
          <w:sz w:val="24"/>
        </w:rPr>
        <w:t xml:space="preserve"> А.Н.</w:t>
      </w:r>
    </w:p>
    <w:p w:rsidR="00B866D3" w:rsidRDefault="00B67F40" w:rsidP="00CC2F9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качестве расчётной </w:t>
      </w:r>
      <w:r w:rsidR="00CC2F99">
        <w:rPr>
          <w:rFonts w:ascii="Times New Roman" w:hAnsi="Times New Roman" w:cs="Times New Roman"/>
          <w:sz w:val="24"/>
        </w:rPr>
        <w:t xml:space="preserve">нагрузки был принят самолёт с максимальной взлётной массой 5670 кг и скоростью 100 м/с. Площадь пятна удара </w:t>
      </w:r>
      <w:r w:rsidR="00CC2F99">
        <w:rPr>
          <w:rFonts w:ascii="Times New Roman" w:hAnsi="Times New Roman" w:cs="Times New Roman"/>
          <w:sz w:val="24"/>
          <w:lang w:val="en-US"/>
        </w:rPr>
        <w:t>S</w:t>
      </w:r>
      <w:r w:rsidR="00CC2F99" w:rsidRPr="00CC2F99">
        <w:rPr>
          <w:rFonts w:ascii="Times New Roman" w:hAnsi="Times New Roman" w:cs="Times New Roman"/>
          <w:sz w:val="24"/>
        </w:rPr>
        <w:t xml:space="preserve">=12 </w:t>
      </w:r>
      <w:r w:rsidR="00CC2F99">
        <w:rPr>
          <w:rFonts w:ascii="Times New Roman" w:hAnsi="Times New Roman" w:cs="Times New Roman"/>
          <w:sz w:val="24"/>
        </w:rPr>
        <w:t>м</w:t>
      </w:r>
      <w:r w:rsidR="00CC2F99" w:rsidRPr="00CC2F99">
        <w:rPr>
          <w:rFonts w:ascii="Times New Roman" w:hAnsi="Times New Roman" w:cs="Times New Roman"/>
          <w:sz w:val="24"/>
          <w:vertAlign w:val="superscript"/>
        </w:rPr>
        <w:t>2</w:t>
      </w:r>
      <w:r w:rsidR="00CC2F99">
        <w:rPr>
          <w:rFonts w:ascii="Times New Roman" w:hAnsi="Times New Roman" w:cs="Times New Roman"/>
          <w:sz w:val="24"/>
        </w:rPr>
        <w:t xml:space="preserve">. Направление удара принято под углом 45 градусов к горизонтали, согласно </w:t>
      </w:r>
      <w:proofErr w:type="spellStart"/>
      <w:r w:rsidR="00CC2F99">
        <w:rPr>
          <w:rFonts w:ascii="Times New Roman" w:hAnsi="Times New Roman" w:cs="Times New Roman"/>
          <w:sz w:val="24"/>
        </w:rPr>
        <w:t>ПиН</w:t>
      </w:r>
      <w:proofErr w:type="spellEnd"/>
      <w:r w:rsidR="00CC2F99">
        <w:rPr>
          <w:rFonts w:ascii="Times New Roman" w:hAnsi="Times New Roman" w:cs="Times New Roman"/>
          <w:sz w:val="24"/>
        </w:rPr>
        <w:t xml:space="preserve"> АЭ 5.6. Учёт падения данного самолёта </w:t>
      </w:r>
      <w:r w:rsidR="00CC2F99">
        <w:rPr>
          <w:rFonts w:ascii="Times New Roman" w:hAnsi="Times New Roman" w:cs="Times New Roman"/>
          <w:sz w:val="24"/>
          <w:lang w:val="en-US"/>
        </w:rPr>
        <w:t>Lear</w:t>
      </w:r>
      <w:r w:rsidR="00CC2F99" w:rsidRPr="00CC2F99">
        <w:rPr>
          <w:rFonts w:ascii="Times New Roman" w:hAnsi="Times New Roman" w:cs="Times New Roman"/>
          <w:sz w:val="24"/>
        </w:rPr>
        <w:t xml:space="preserve"> </w:t>
      </w:r>
      <w:r w:rsidR="00CC2F99">
        <w:rPr>
          <w:rFonts w:ascii="Times New Roman" w:hAnsi="Times New Roman" w:cs="Times New Roman"/>
          <w:sz w:val="24"/>
          <w:lang w:val="en-US"/>
        </w:rPr>
        <w:t>Jet</w:t>
      </w:r>
      <w:r w:rsidR="00CC2F99" w:rsidRPr="00CC2F99">
        <w:rPr>
          <w:rFonts w:ascii="Times New Roman" w:hAnsi="Times New Roman" w:cs="Times New Roman"/>
          <w:sz w:val="24"/>
        </w:rPr>
        <w:t>-23</w:t>
      </w:r>
      <w:r w:rsidR="00CC2F99">
        <w:rPr>
          <w:rFonts w:ascii="Times New Roman" w:hAnsi="Times New Roman" w:cs="Times New Roman"/>
          <w:sz w:val="24"/>
        </w:rPr>
        <w:t xml:space="preserve"> предусмотрен нормами Франции и рекомендациями МАГАТЭ. Он вмещает 5-7 пассажиров, двух членов экипажа. </w:t>
      </w:r>
    </w:p>
    <w:p w:rsidR="00CC2F99" w:rsidRDefault="00CC2F99" w:rsidP="00B866D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Временной график нагрузки на строительные конструкции представлен на рисунке 3. </w:t>
      </w:r>
    </w:p>
    <w:p w:rsidR="00CC2F99" w:rsidRDefault="00CC2F99" w:rsidP="00CC2F99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61D141B" wp14:editId="22F036EF">
            <wp:extent cx="3574423" cy="263842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4191" cy="265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99" w:rsidRDefault="00CC2F99" w:rsidP="00CC2F99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3 – Нагрузка при ударе самолёта массой 5670 кг со скоростью 100 м/с</w:t>
      </w:r>
    </w:p>
    <w:p w:rsidR="00CC2F99" w:rsidRDefault="00773FB9" w:rsidP="00773FB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 моделировании ударного воздействия применялся квазистатический метод расчёта с использованием коэффициента динамичности, график которого представлен на рисунке 4. </w:t>
      </w:r>
    </w:p>
    <w:p w:rsidR="00773FB9" w:rsidRDefault="00773FB9" w:rsidP="00773FB9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06743F5" wp14:editId="46F8AE7A">
            <wp:extent cx="3590925" cy="2622586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5472" cy="26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FB9" w:rsidRDefault="00773FB9" w:rsidP="00773FB9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4 – Коэффициент динамичности.</w:t>
      </w:r>
    </w:p>
    <w:p w:rsidR="00773FB9" w:rsidRDefault="00773FB9" w:rsidP="00773FB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для сравнения усилий применялся прямой динамический расчёт. При данном расчёте использовалась функция, представленная на рисунке 3. </w:t>
      </w:r>
    </w:p>
    <w:p w:rsidR="00773FB9" w:rsidRDefault="00773FB9" w:rsidP="00773FB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Усилия для расчёта приняты по наихудшему из двух вышеприведённых вариантов расчёта. </w:t>
      </w:r>
    </w:p>
    <w:p w:rsidR="00773FB9" w:rsidRDefault="00773FB9" w:rsidP="00773FB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Проверки сечений балок и плиты покрытия на усилия от падения самолёта проводились по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773F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ГПС, без учёта коэффициентов динамического упрочнения бетона и арматуры в запас. </w:t>
      </w:r>
    </w:p>
    <w:p w:rsidR="00CC2F99" w:rsidRDefault="00773FB9" w:rsidP="00773FB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Расчёт по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773F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ГПС на усилия от особого со</w:t>
      </w:r>
      <w:r w:rsidR="00493910">
        <w:rPr>
          <w:rFonts w:ascii="Times New Roman" w:hAnsi="Times New Roman" w:cs="Times New Roman"/>
          <w:sz w:val="24"/>
        </w:rPr>
        <w:t>четания не проводился, так как согласно СП 63.13330.2012 расчёт на раскрытие трещин и определения вертикальных прогибов производят только на действие нормативных постоянных и временных (длительных или кратковременных) нагрузок.</w:t>
      </w:r>
    </w:p>
    <w:p w:rsidR="00A3098D" w:rsidRDefault="00F525A1" w:rsidP="00773FB9">
      <w:pPr>
        <w:ind w:firstLine="708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3EE2819" wp14:editId="728522B7">
            <wp:extent cx="5056311" cy="325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0620" cy="329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5A1" w:rsidRDefault="00F525A1" w:rsidP="00F525A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Фрагмент расчётной модели с учётом действия нагрузки от падения самолёта</w:t>
      </w:r>
    </w:p>
    <w:p w:rsidR="00F525A1" w:rsidRDefault="00F525A1" w:rsidP="00773FB9">
      <w:pPr>
        <w:ind w:firstLine="708"/>
        <w:rPr>
          <w:rFonts w:ascii="Times New Roman" w:hAnsi="Times New Roman" w:cs="Times New Roman"/>
          <w:sz w:val="24"/>
        </w:rPr>
      </w:pPr>
      <w:r w:rsidRPr="00F525A1">
        <w:rPr>
          <w:rFonts w:ascii="Times New Roman" w:hAnsi="Times New Roman" w:cs="Times New Roman"/>
          <w:sz w:val="24"/>
        </w:rPr>
        <w:t>В таблице 1 приведены расходы материалов</w:t>
      </w:r>
      <w:r>
        <w:rPr>
          <w:rFonts w:ascii="Times New Roman" w:hAnsi="Times New Roman" w:cs="Times New Roman"/>
          <w:sz w:val="24"/>
        </w:rPr>
        <w:t xml:space="preserve"> на 1 м2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покрытия здания.</w:t>
      </w:r>
    </w:p>
    <w:p w:rsidR="00F525A1" w:rsidRPr="00F525A1" w:rsidRDefault="00F525A1" w:rsidP="00F525A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5A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F525A1">
        <w:rPr>
          <w:rFonts w:ascii="Times New Roman" w:hAnsi="Times New Roman" w:cs="Times New Roman"/>
          <w:sz w:val="24"/>
          <w:szCs w:val="24"/>
        </w:rPr>
        <w:t>1 -  Р</w:t>
      </w:r>
      <w:r w:rsidRPr="00F525A1">
        <w:rPr>
          <w:rFonts w:ascii="Times New Roman" w:hAnsi="Times New Roman" w:cs="Times New Roman"/>
          <w:sz w:val="24"/>
          <w:szCs w:val="24"/>
        </w:rPr>
        <w:t>асход</w:t>
      </w:r>
      <w:r w:rsidRPr="00F525A1">
        <w:rPr>
          <w:rFonts w:ascii="Times New Roman" w:hAnsi="Times New Roman" w:cs="Times New Roman"/>
          <w:sz w:val="24"/>
          <w:szCs w:val="24"/>
        </w:rPr>
        <w:t>ы</w:t>
      </w:r>
      <w:r w:rsidRPr="00F525A1">
        <w:rPr>
          <w:rFonts w:ascii="Times New Roman" w:hAnsi="Times New Roman" w:cs="Times New Roman"/>
          <w:sz w:val="24"/>
          <w:szCs w:val="24"/>
        </w:rPr>
        <w:t xml:space="preserve"> материалов на 1 м2 покрытия</w:t>
      </w:r>
    </w:p>
    <w:tbl>
      <w:tblPr>
        <w:tblW w:w="7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3458"/>
      </w:tblGrid>
      <w:tr w:rsidR="00F525A1" w:rsidRPr="00AA64D9" w:rsidTr="00F525A1">
        <w:trPr>
          <w:trHeight w:val="612"/>
          <w:jc w:val="center"/>
        </w:trPr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:rsidR="00F525A1" w:rsidRPr="00AA64D9" w:rsidRDefault="00F525A1" w:rsidP="002F6E3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64D9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F525A1" w:rsidRDefault="00F525A1" w:rsidP="002F6E3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F525A1" w:rsidRPr="00AA64D9" w:rsidTr="00F525A1">
        <w:trPr>
          <w:trHeight w:val="567"/>
          <w:jc w:val="center"/>
        </w:trPr>
        <w:tc>
          <w:tcPr>
            <w:tcW w:w="3886" w:type="dxa"/>
            <w:vAlign w:val="center"/>
          </w:tcPr>
          <w:p w:rsidR="00F525A1" w:rsidRPr="00AA64D9" w:rsidRDefault="00F525A1" w:rsidP="002F6E3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A64D9">
              <w:rPr>
                <w:rFonts w:ascii="Times New Roman" w:hAnsi="Times New Roman" w:cs="Times New Roman"/>
                <w:sz w:val="24"/>
              </w:rPr>
              <w:t xml:space="preserve">Расход </w:t>
            </w:r>
            <w:r>
              <w:rPr>
                <w:rFonts w:ascii="Times New Roman" w:hAnsi="Times New Roman" w:cs="Times New Roman"/>
                <w:sz w:val="24"/>
              </w:rPr>
              <w:t xml:space="preserve">монолитного </w:t>
            </w:r>
            <w:r w:rsidRPr="00AA64D9">
              <w:rPr>
                <w:rFonts w:ascii="Times New Roman" w:hAnsi="Times New Roman" w:cs="Times New Roman"/>
                <w:sz w:val="24"/>
              </w:rPr>
              <w:t>бетона В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F525A1" w:rsidRPr="0015379A" w:rsidRDefault="00F525A1" w:rsidP="002F6E3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 м</w:t>
            </w:r>
            <w:r w:rsidRPr="00AB42B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/м</w:t>
            </w:r>
            <w:r w:rsidRPr="00AB42B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F525A1" w:rsidRPr="00AA64D9" w:rsidTr="00F525A1">
        <w:trPr>
          <w:trHeight w:val="567"/>
          <w:jc w:val="center"/>
        </w:trPr>
        <w:tc>
          <w:tcPr>
            <w:tcW w:w="3886" w:type="dxa"/>
            <w:vAlign w:val="center"/>
          </w:tcPr>
          <w:p w:rsidR="00F525A1" w:rsidRPr="00774127" w:rsidRDefault="00F525A1" w:rsidP="002F6E3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A64D9">
              <w:rPr>
                <w:rFonts w:ascii="Times New Roman" w:hAnsi="Times New Roman" w:cs="Times New Roman"/>
                <w:sz w:val="24"/>
              </w:rPr>
              <w:t>Арматура А</w:t>
            </w:r>
            <w:r>
              <w:rPr>
                <w:rFonts w:ascii="Times New Roman" w:hAnsi="Times New Roman" w:cs="Times New Roman"/>
                <w:sz w:val="24"/>
              </w:rPr>
              <w:t xml:space="preserve">500 С </w:t>
            </w:r>
          </w:p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F525A1" w:rsidRPr="0015379A" w:rsidRDefault="00F525A1" w:rsidP="002F6E3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  <w:r w:rsidRPr="00E7749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кг/м</w:t>
            </w:r>
            <w:r w:rsidRPr="00AB42B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F525A1" w:rsidRPr="00AA64D9" w:rsidTr="00F525A1">
        <w:trPr>
          <w:trHeight w:val="567"/>
          <w:jc w:val="center"/>
        </w:trPr>
        <w:tc>
          <w:tcPr>
            <w:tcW w:w="3886" w:type="dxa"/>
            <w:vAlign w:val="center"/>
          </w:tcPr>
          <w:p w:rsidR="00F525A1" w:rsidRPr="00AA64D9" w:rsidRDefault="00F525A1" w:rsidP="002F6E3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AA64D9">
              <w:rPr>
                <w:rFonts w:ascii="Times New Roman" w:hAnsi="Times New Roman" w:cs="Times New Roman"/>
                <w:sz w:val="24"/>
              </w:rPr>
              <w:t xml:space="preserve">Канаты </w:t>
            </w:r>
            <w:r>
              <w:rPr>
                <w:rFonts w:ascii="Times New Roman" w:hAnsi="Times New Roman" w:cs="Times New Roman"/>
                <w:sz w:val="24"/>
              </w:rPr>
              <w:t xml:space="preserve">К-7 </w:t>
            </w:r>
            <w:r w:rsidRPr="00AA64D9">
              <w:rPr>
                <w:rFonts w:ascii="Times New Roman" w:hAnsi="Times New Roman" w:cs="Times New Roman"/>
                <w:sz w:val="24"/>
              </w:rPr>
              <w:t xml:space="preserve">ф15,7мм 1860МПА </w:t>
            </w:r>
            <w:r>
              <w:rPr>
                <w:rFonts w:ascii="Times New Roman" w:hAnsi="Times New Roman" w:cs="Times New Roman"/>
                <w:sz w:val="24"/>
              </w:rPr>
              <w:t>без защитной оболочки</w:t>
            </w:r>
          </w:p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F525A1" w:rsidRPr="00663CA5" w:rsidRDefault="00F525A1" w:rsidP="002F6E3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кг/м</w:t>
            </w:r>
            <w:r w:rsidRPr="00AB42B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*</w:t>
            </w:r>
          </w:p>
        </w:tc>
      </w:tr>
      <w:tr w:rsidR="00F525A1" w:rsidRPr="00AA64D9" w:rsidTr="00F525A1">
        <w:trPr>
          <w:trHeight w:val="567"/>
          <w:jc w:val="center"/>
        </w:trPr>
        <w:tc>
          <w:tcPr>
            <w:tcW w:w="3886" w:type="dxa"/>
            <w:vAlign w:val="center"/>
          </w:tcPr>
          <w:p w:rsidR="00F525A1" w:rsidRDefault="00F525A1" w:rsidP="002F6E3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1" w:name="_Hlk493535456"/>
            <w:r>
              <w:rPr>
                <w:rFonts w:ascii="Times New Roman" w:hAnsi="Times New Roman" w:cs="Times New Roman"/>
                <w:sz w:val="24"/>
              </w:rPr>
              <w:t>Анкер АКС-13</w:t>
            </w:r>
          </w:p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F525A1" w:rsidRDefault="00F525A1" w:rsidP="002F6E3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0,12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/м</w:t>
            </w:r>
            <w:r w:rsidRPr="00AB42B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F525A1" w:rsidRPr="00AA64D9" w:rsidTr="00F525A1">
        <w:trPr>
          <w:trHeight w:val="567"/>
          <w:jc w:val="center"/>
        </w:trPr>
        <w:tc>
          <w:tcPr>
            <w:tcW w:w="3886" w:type="dxa"/>
            <w:vAlign w:val="center"/>
          </w:tcPr>
          <w:p w:rsidR="00F525A1" w:rsidRDefault="00F525A1" w:rsidP="002F6E3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Металлический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каналообразователь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=90 мм</w:t>
            </w:r>
          </w:p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F525A1" w:rsidRDefault="00F525A1" w:rsidP="002F6E3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1,62 м/м</w:t>
            </w:r>
            <w:r w:rsidRPr="00AB42B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</w:tbl>
    <w:bookmarkEnd w:id="1"/>
    <w:p w:rsidR="00F525A1" w:rsidRPr="00CE0EAD" w:rsidRDefault="00F525A1" w:rsidP="00F525A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E0EA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5A6">
        <w:rPr>
          <w:rFonts w:ascii="Times New Roman" w:hAnsi="Times New Roman" w:cs="Times New Roman"/>
          <w:sz w:val="24"/>
          <w:szCs w:val="24"/>
        </w:rPr>
        <w:t xml:space="preserve">учтено с коэффициентом </w:t>
      </w:r>
      <w:proofErr w:type="spellStart"/>
      <w:r w:rsidRPr="008D45A6">
        <w:rPr>
          <w:rFonts w:ascii="Times New Roman" w:hAnsi="Times New Roman" w:cs="Times New Roman"/>
          <w:sz w:val="24"/>
          <w:szCs w:val="24"/>
        </w:rPr>
        <w:t>немерности</w:t>
      </w:r>
      <w:proofErr w:type="spellEnd"/>
      <w:r w:rsidRPr="008D45A6">
        <w:rPr>
          <w:rFonts w:ascii="Times New Roman" w:hAnsi="Times New Roman" w:cs="Times New Roman"/>
          <w:sz w:val="24"/>
          <w:szCs w:val="24"/>
        </w:rPr>
        <w:t xml:space="preserve"> бухт</w:t>
      </w:r>
    </w:p>
    <w:p w:rsidR="00F525A1" w:rsidRPr="00F525A1" w:rsidRDefault="00F525A1" w:rsidP="00773FB9">
      <w:pPr>
        <w:ind w:firstLine="708"/>
        <w:rPr>
          <w:rFonts w:ascii="Times New Roman" w:hAnsi="Times New Roman" w:cs="Times New Roman"/>
          <w:sz w:val="24"/>
        </w:rPr>
      </w:pPr>
    </w:p>
    <w:sectPr w:rsidR="00F525A1" w:rsidRPr="00F525A1" w:rsidSect="00F525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B"/>
    <w:rsid w:val="00217ABD"/>
    <w:rsid w:val="002F6B29"/>
    <w:rsid w:val="00493910"/>
    <w:rsid w:val="004D4A5B"/>
    <w:rsid w:val="006A2AA8"/>
    <w:rsid w:val="00773FB9"/>
    <w:rsid w:val="009A6BBB"/>
    <w:rsid w:val="00A3098D"/>
    <w:rsid w:val="00A952C2"/>
    <w:rsid w:val="00AF73CB"/>
    <w:rsid w:val="00B67F40"/>
    <w:rsid w:val="00B866D3"/>
    <w:rsid w:val="00C476A4"/>
    <w:rsid w:val="00CC2F99"/>
    <w:rsid w:val="00ED04EB"/>
    <w:rsid w:val="00F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084E5"/>
  <w15:chartTrackingRefBased/>
  <w15:docId w15:val="{68CDD425-3495-4E7B-A6E5-200A3648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5" Type="http://schemas.openxmlformats.org/officeDocument/2006/relationships/image" Target="media/image2.w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D3E5CC3A.dotm</Template>
  <TotalTime>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Камалтдинов</dc:creator>
  <cp:keywords/>
  <dc:description/>
  <cp:lastModifiedBy>Ренат Тулумбаев</cp:lastModifiedBy>
  <cp:revision>2</cp:revision>
  <dcterms:created xsi:type="dcterms:W3CDTF">2020-01-19T11:00:00Z</dcterms:created>
  <dcterms:modified xsi:type="dcterms:W3CDTF">2020-01-19T11:00:00Z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