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5703" w14:textId="6E302A78" w:rsidR="001F1E37" w:rsidRDefault="0011288A" w:rsidP="00E12753">
      <w:pPr>
        <w:jc w:val="center"/>
        <w:rPr>
          <w:b/>
        </w:rPr>
      </w:pPr>
      <w:r>
        <w:rPr>
          <w:b/>
        </w:rPr>
        <w:t xml:space="preserve">Facility: Parking floors </w:t>
      </w:r>
    </w:p>
    <w:p w14:paraId="3783E9BA" w14:textId="64147058" w:rsidR="001F1E37" w:rsidRPr="005F069A" w:rsidRDefault="001F1E37" w:rsidP="001F1E37">
      <w:pPr>
        <w:rPr>
          <w:rFonts w:cs="Times New Roman"/>
          <w:color w:val="000000" w:themeColor="text1"/>
        </w:rPr>
      </w:pPr>
      <w:r>
        <w:tab/>
        <w:t>The preliminary project considers parking flooring with a uniform grid of columns 12x12 m and 12x18 m. The parking building consists of two parts of 142.3x66 m and 118.25x66 m in the plan view. The total number of parking lots is 293 including car lots - 58, truck lots - 166; special vehicle lots - 69.</w:t>
      </w:r>
      <w:r>
        <w:cr/>
      </w:r>
      <w:r>
        <w:br/>
      </w:r>
    </w:p>
    <w:p w14:paraId="5AAA6407" w14:textId="7284F942" w:rsidR="001F1E37" w:rsidRPr="001F1E37" w:rsidRDefault="001F1E37" w:rsidP="001F1E37">
      <w:pPr>
        <w:rPr>
          <w:b/>
        </w:rPr>
      </w:pPr>
      <w:r>
        <w:rPr>
          <w:b/>
        </w:rPr>
        <w:tab/>
        <w:t>Description of floor</w:t>
      </w:r>
      <w:r w:rsidR="00B04BD0">
        <w:rPr>
          <w:b/>
        </w:rPr>
        <w:t>ing</w:t>
      </w:r>
      <w:r>
        <w:rPr>
          <w:b/>
        </w:rPr>
        <w:t xml:space="preserve"> </w:t>
      </w:r>
      <w:r w:rsidR="00B04BD0">
        <w:rPr>
          <w:b/>
        </w:rPr>
        <w:t>variant</w:t>
      </w:r>
    </w:p>
    <w:p w14:paraId="55CC4A1E" w14:textId="194F0DF4" w:rsidR="008005F6" w:rsidRPr="00BE329D" w:rsidRDefault="008005F6" w:rsidP="00BE329D">
      <w:pPr>
        <w:ind w:firstLine="708"/>
        <w:rPr>
          <w:rFonts w:cs="Times New Roman"/>
          <w:szCs w:val="24"/>
        </w:rPr>
      </w:pPr>
      <w:r>
        <w:t xml:space="preserve">Flooring has </w:t>
      </w:r>
      <w:r w:rsidR="00B04BD0">
        <w:t>girder</w:t>
      </w:r>
      <w:r>
        <w:t xml:space="preserve">s in two directions. The main </w:t>
      </w:r>
      <w:r w:rsidR="00B04BD0">
        <w:t>girder</w:t>
      </w:r>
      <w:r>
        <w:t xml:space="preserve">s are located along the alphabetic axes in increments of 12 and 18 m. The secondary </w:t>
      </w:r>
      <w:r w:rsidR="00B04BD0">
        <w:t>girder</w:t>
      </w:r>
      <w:r>
        <w:t>s are located along the digital in increments of 4 m. The floor thickness is 220 mm. Concrete of floors is B</w:t>
      </w:r>
      <w:bookmarkStart w:id="0" w:name="_GoBack"/>
      <w:bookmarkEnd w:id="0"/>
      <w:r>
        <w:t xml:space="preserve">35. </w:t>
      </w:r>
      <w:r w:rsidR="00B04BD0">
        <w:t>Girder</w:t>
      </w:r>
      <w:r>
        <w:t>s are reinforced with tendons (13 strands per tendon) with a diameter of 15.7 mm, tensile strength of 1860 MPa. A certified Russian pre-stressing system with bonding and post-tensioning by STS Ltd. (Moscow)</w:t>
      </w:r>
      <w:r w:rsidR="00C85A8D">
        <w:t xml:space="preserve"> is used</w:t>
      </w:r>
      <w:r>
        <w:t>. Roof of the building is inaccessible.</w:t>
      </w:r>
    </w:p>
    <w:p w14:paraId="1944381E" w14:textId="30BD4E91" w:rsidR="0011288A" w:rsidRDefault="0011288A" w:rsidP="0011288A">
      <w:r>
        <w:t xml:space="preserve">Types of the main </w:t>
      </w:r>
      <w:r w:rsidR="00B04BD0">
        <w:t>girder</w:t>
      </w:r>
      <w:r>
        <w:t>s of the floors at elevation +0,000 and +6,900:</w:t>
      </w:r>
    </w:p>
    <w:p w14:paraId="69299ADB" w14:textId="50E69DE1" w:rsidR="0011288A" w:rsidRDefault="0011288A" w:rsidP="008F340D">
      <w:pPr>
        <w:ind w:firstLine="708"/>
      </w:pPr>
      <w:r>
        <w:t xml:space="preserve">Type 1 - </w:t>
      </w:r>
      <w:r w:rsidR="00B04BD0">
        <w:t>girder</w:t>
      </w:r>
      <w:r>
        <w:t>s along axes В and Г of section 400х1400;</w:t>
      </w:r>
    </w:p>
    <w:p w14:paraId="7C26BA18" w14:textId="4F1DAAF8" w:rsidR="0011288A" w:rsidRDefault="0011288A" w:rsidP="008F340D">
      <w:pPr>
        <w:ind w:firstLine="708"/>
      </w:pPr>
      <w:r>
        <w:t xml:space="preserve">Type 2 - </w:t>
      </w:r>
      <w:r w:rsidR="00B04BD0">
        <w:t>girder</w:t>
      </w:r>
      <w:r>
        <w:t>s along axes Б and Д of section 400х1100;</w:t>
      </w:r>
    </w:p>
    <w:p w14:paraId="74BE1231" w14:textId="47268AA1" w:rsidR="0011288A" w:rsidRDefault="0011288A" w:rsidP="008F340D">
      <w:pPr>
        <w:ind w:firstLine="708"/>
      </w:pPr>
      <w:r>
        <w:t xml:space="preserve">Type 3 - </w:t>
      </w:r>
      <w:r w:rsidR="00B04BD0">
        <w:t>girder</w:t>
      </w:r>
      <w:r>
        <w:t>s along axes A and Е of section 400х1000.</w:t>
      </w:r>
    </w:p>
    <w:p w14:paraId="3ACCDC29" w14:textId="3C07D158" w:rsidR="008F340D" w:rsidRDefault="008F340D" w:rsidP="008F340D">
      <w:r>
        <w:t xml:space="preserve">Types of the main </w:t>
      </w:r>
      <w:r w:rsidR="00B04BD0">
        <w:t>girder</w:t>
      </w:r>
      <w:r>
        <w:t>s at elevation +13,800:</w:t>
      </w:r>
    </w:p>
    <w:p w14:paraId="6026DC32" w14:textId="253F4DB4" w:rsidR="008F340D" w:rsidRDefault="008F340D" w:rsidP="008F340D">
      <w:pPr>
        <w:ind w:firstLine="708"/>
      </w:pPr>
      <w:r>
        <w:t xml:space="preserve">Type 4 - </w:t>
      </w:r>
      <w:r w:rsidR="00B04BD0">
        <w:t>girder</w:t>
      </w:r>
      <w:r>
        <w:t>s along axes Б, В, Г, Д of section 400х1000;</w:t>
      </w:r>
    </w:p>
    <w:p w14:paraId="4DDA590F" w14:textId="4D329EB6" w:rsidR="008F340D" w:rsidRDefault="008F340D" w:rsidP="008F340D">
      <w:pPr>
        <w:ind w:firstLine="708"/>
      </w:pPr>
      <w:r>
        <w:t xml:space="preserve">Type 5 - </w:t>
      </w:r>
      <w:r w:rsidR="00B04BD0">
        <w:t>girder</w:t>
      </w:r>
      <w:r>
        <w:t>s along axes A and Е of section 400х1000.</w:t>
      </w:r>
    </w:p>
    <w:p w14:paraId="4C9767B2" w14:textId="4C3E489B" w:rsidR="008F340D" w:rsidRDefault="008F340D" w:rsidP="008F340D">
      <w:r>
        <w:t xml:space="preserve">Types of the secondary </w:t>
      </w:r>
      <w:r w:rsidR="00B04BD0">
        <w:t>girder</w:t>
      </w:r>
      <w:r>
        <w:t>s:</w:t>
      </w:r>
    </w:p>
    <w:p w14:paraId="6771E9EF" w14:textId="611A9C26" w:rsidR="008F340D" w:rsidRDefault="008F340D" w:rsidP="008F340D">
      <w:r>
        <w:tab/>
        <w:t xml:space="preserve">Type 6 - </w:t>
      </w:r>
      <w:r w:rsidR="00B04BD0">
        <w:t>girder</w:t>
      </w:r>
      <w:r>
        <w:t>s along digital axes at elevation +0,000 and +6,900 of section 400х1000;</w:t>
      </w:r>
    </w:p>
    <w:p w14:paraId="1828609A" w14:textId="7B8B6478" w:rsidR="008F340D" w:rsidRDefault="008F340D" w:rsidP="008F340D">
      <w:r>
        <w:tab/>
        <w:t xml:space="preserve">Type 7 - </w:t>
      </w:r>
      <w:r w:rsidR="00B04BD0">
        <w:t>girder</w:t>
      </w:r>
      <w:r>
        <w:t>s along digital axes at elevation +13,800 of section 400х900.</w:t>
      </w:r>
    </w:p>
    <w:p w14:paraId="600EA133" w14:textId="11D1EF6E" w:rsidR="00EC6E00" w:rsidRDefault="00EC6E00" w:rsidP="008F340D">
      <w:r>
        <w:t xml:space="preserve">Height of the </w:t>
      </w:r>
      <w:r w:rsidR="00B04BD0">
        <w:t>girder</w:t>
      </w:r>
      <w:r>
        <w:t>s is given with regard to the floor thickness.</w:t>
      </w:r>
    </w:p>
    <w:p w14:paraId="2C4B16A4" w14:textId="77777777" w:rsidR="008F340D" w:rsidRDefault="00EC6E00" w:rsidP="00EC6E00">
      <w:pPr>
        <w:ind w:firstLine="708"/>
        <w:rPr>
          <w:b/>
        </w:rPr>
      </w:pPr>
      <w:r>
        <w:rPr>
          <w:b/>
        </w:rPr>
        <w:t>The design load on the floor</w:t>
      </w:r>
    </w:p>
    <w:p w14:paraId="57B067BF" w14:textId="497A8939" w:rsidR="00EC6E00" w:rsidRPr="004D5913" w:rsidRDefault="004D5913" w:rsidP="004D5913">
      <w:pPr>
        <w:ind w:firstLine="708"/>
        <w:rPr>
          <w:rFonts w:cs="Times New Roman"/>
          <w:szCs w:val="24"/>
        </w:rPr>
      </w:pPr>
      <w:r>
        <w:t xml:space="preserve">- Dead weight of </w:t>
      </w:r>
      <w:r w:rsidR="00B04BD0">
        <w:t>cast-in-place</w:t>
      </w:r>
      <w:r>
        <w:t xml:space="preserve"> reinforced concrete (</w:t>
      </w:r>
      <w:proofErr w:type="spellStart"/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f</w:t>
      </w:r>
      <w:proofErr w:type="spellEnd"/>
      <w:r>
        <w:t xml:space="preserve"> = 1.1);</w:t>
      </w:r>
    </w:p>
    <w:p w14:paraId="2588DFE2" w14:textId="77777777" w:rsidR="00EC6E00" w:rsidRDefault="004D5913" w:rsidP="004D5913">
      <w:pPr>
        <w:ind w:firstLine="708"/>
        <w:rPr>
          <w:rFonts w:cs="Times New Roman"/>
          <w:szCs w:val="24"/>
        </w:rPr>
      </w:pPr>
      <w:r>
        <w:t>- Permanent load of floor covering   204 kg/m2 (</w:t>
      </w:r>
      <w:proofErr w:type="spellStart"/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f</w:t>
      </w:r>
      <w:proofErr w:type="spellEnd"/>
      <w:r>
        <w:t xml:space="preserve"> = 1.3);</w:t>
      </w:r>
    </w:p>
    <w:p w14:paraId="0F019E3F" w14:textId="1CBCB6EB" w:rsidR="00BE329D" w:rsidRPr="004D5913" w:rsidRDefault="00BE329D" w:rsidP="00BE329D">
      <w:pPr>
        <w:ind w:firstLine="708"/>
        <w:rPr>
          <w:rFonts w:cs="Times New Roman"/>
          <w:szCs w:val="24"/>
        </w:rPr>
      </w:pPr>
      <w:r>
        <w:t xml:space="preserve">- Permanent load of </w:t>
      </w:r>
      <w:r w:rsidR="00B04BD0">
        <w:t>floor</w:t>
      </w:r>
      <w:r>
        <w:t xml:space="preserve"> “pie” 400 kg/m2 (</w:t>
      </w:r>
      <w:proofErr w:type="spellStart"/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f</w:t>
      </w:r>
      <w:proofErr w:type="spellEnd"/>
      <w:r>
        <w:t xml:space="preserve"> = 1.3);</w:t>
      </w:r>
    </w:p>
    <w:p w14:paraId="4C2092C1" w14:textId="7CEF1F34" w:rsidR="00EC6E00" w:rsidRDefault="00BD3B48" w:rsidP="00BD3B48">
      <w:pPr>
        <w:ind w:firstLine="708"/>
      </w:pPr>
      <w:r>
        <w:t xml:space="preserve">- Temporary vertical load of trucks is considered as the load on public loads A14 as per SP 35.13330.2011 “Bridges and pipes”. Factors of safety and </w:t>
      </w:r>
      <w:r w:rsidR="00B04BD0">
        <w:t>dynamic</w:t>
      </w:r>
      <w:r>
        <w:t xml:space="preserve"> factors for load of anchors AK are given in Table 1</w:t>
      </w:r>
    </w:p>
    <w:p w14:paraId="18AAD4FA" w14:textId="4C1287C6" w:rsidR="00312013" w:rsidRDefault="00312013" w:rsidP="00312013">
      <w:pPr>
        <w:ind w:firstLine="708"/>
        <w:rPr>
          <w:rFonts w:cs="Times New Roman"/>
          <w:szCs w:val="24"/>
        </w:rPr>
      </w:pPr>
      <w:r>
        <w:t>- Snow load on the roof  153 kg/m2 (</w:t>
      </w:r>
      <w:proofErr w:type="spellStart"/>
      <w:r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f</w:t>
      </w:r>
      <w:proofErr w:type="spellEnd"/>
      <w:r>
        <w:t xml:space="preserve"> = 1.4, duration </w:t>
      </w:r>
      <w:r w:rsidR="00C26D5E">
        <w:t>factor</w:t>
      </w:r>
      <w:r>
        <w:t xml:space="preserve"> 0,5)</w:t>
      </w:r>
    </w:p>
    <w:p w14:paraId="6CB92CA5" w14:textId="77777777" w:rsidR="00312013" w:rsidRDefault="00312013">
      <w:pPr>
        <w:spacing w:after="160" w:line="259" w:lineRule="auto"/>
        <w:rPr>
          <w:rFonts w:cs="Times New Roman"/>
          <w:szCs w:val="24"/>
        </w:rPr>
      </w:pPr>
      <w:r>
        <w:br w:type="page"/>
      </w:r>
    </w:p>
    <w:p w14:paraId="16F2AE21" w14:textId="59E5B8C1" w:rsidR="004D5913" w:rsidRDefault="004D5913" w:rsidP="00312013">
      <w:pPr>
        <w:ind w:firstLine="708"/>
        <w:rPr>
          <w:rFonts w:cs="Times New Roman"/>
          <w:szCs w:val="24"/>
        </w:rPr>
      </w:pPr>
      <w:r>
        <w:lastRenderedPageBreak/>
        <w:t xml:space="preserve">Table 1 - Factors of safety and </w:t>
      </w:r>
      <w:r w:rsidR="00B04BD0">
        <w:t>dynamic</w:t>
      </w:r>
      <w:r>
        <w:t xml:space="preserve"> factors for load of anchors AK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C6E00" w14:paraId="0DAFA12B" w14:textId="77777777" w:rsidTr="00EC6E00">
        <w:tc>
          <w:tcPr>
            <w:tcW w:w="3304" w:type="dxa"/>
          </w:tcPr>
          <w:p w14:paraId="770EE8F3" w14:textId="77777777" w:rsidR="00EC6E00" w:rsidRDefault="004D5913" w:rsidP="004D5913">
            <w:pPr>
              <w:jc w:val="center"/>
            </w:pPr>
            <w:r>
              <w:t>Pat of AK load</w:t>
            </w:r>
          </w:p>
        </w:tc>
        <w:tc>
          <w:tcPr>
            <w:tcW w:w="3304" w:type="dxa"/>
          </w:tcPr>
          <w:p w14:paraId="120B9EA0" w14:textId="77777777" w:rsidR="00EC6E00" w:rsidRDefault="004D5913" w:rsidP="004D591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γ</w:t>
            </w:r>
            <w:r>
              <w:rPr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304" w:type="dxa"/>
          </w:tcPr>
          <w:p w14:paraId="62D12CC6" w14:textId="77777777" w:rsidR="00EC6E00" w:rsidRDefault="004D5913" w:rsidP="004D5913">
            <w:pPr>
              <w:jc w:val="center"/>
            </w:pPr>
            <w:r>
              <w:t>(1+µ)</w:t>
            </w:r>
          </w:p>
        </w:tc>
      </w:tr>
      <w:tr w:rsidR="00EC6E00" w14:paraId="56340323" w14:textId="77777777" w:rsidTr="00EC6E00">
        <w:tc>
          <w:tcPr>
            <w:tcW w:w="3304" w:type="dxa"/>
          </w:tcPr>
          <w:p w14:paraId="25C69E0D" w14:textId="5CED9FE6" w:rsidR="00EC6E00" w:rsidRPr="004D5913" w:rsidRDefault="004D5913" w:rsidP="00EC6E00">
            <w:r>
              <w:t xml:space="preserve">Distributed </w:t>
            </w:r>
            <w:r>
              <w:rPr>
                <w:i/>
              </w:rPr>
              <w:t>v</w:t>
            </w:r>
          </w:p>
        </w:tc>
        <w:tc>
          <w:tcPr>
            <w:tcW w:w="3304" w:type="dxa"/>
          </w:tcPr>
          <w:p w14:paraId="4FAA31BD" w14:textId="77777777" w:rsidR="00EC6E00" w:rsidRDefault="004D5913" w:rsidP="004D5913">
            <w:pPr>
              <w:jc w:val="center"/>
            </w:pPr>
            <w:r>
              <w:t>1.15</w:t>
            </w:r>
          </w:p>
        </w:tc>
        <w:tc>
          <w:tcPr>
            <w:tcW w:w="3304" w:type="dxa"/>
          </w:tcPr>
          <w:p w14:paraId="4F42F168" w14:textId="77777777" w:rsidR="00EC6E00" w:rsidRDefault="004D5913" w:rsidP="004D5913">
            <w:pPr>
              <w:jc w:val="center"/>
            </w:pPr>
            <w:r>
              <w:t>1.0</w:t>
            </w:r>
          </w:p>
        </w:tc>
      </w:tr>
      <w:tr w:rsidR="00EC6E00" w14:paraId="7772B6AE" w14:textId="77777777" w:rsidTr="00EC6E00">
        <w:tc>
          <w:tcPr>
            <w:tcW w:w="3304" w:type="dxa"/>
          </w:tcPr>
          <w:p w14:paraId="2469462F" w14:textId="77777777" w:rsidR="00EC6E00" w:rsidRPr="00BE329D" w:rsidRDefault="004D5913" w:rsidP="004D5913">
            <w:r>
              <w:t>Four-wheel bogie 2P</w:t>
            </w:r>
          </w:p>
        </w:tc>
        <w:tc>
          <w:tcPr>
            <w:tcW w:w="3304" w:type="dxa"/>
          </w:tcPr>
          <w:p w14:paraId="75B64533" w14:textId="77777777" w:rsidR="00EC6E00" w:rsidRDefault="004D5913" w:rsidP="004D5913">
            <w:pPr>
              <w:jc w:val="center"/>
            </w:pPr>
            <w:r>
              <w:t>1.5</w:t>
            </w:r>
          </w:p>
        </w:tc>
        <w:tc>
          <w:tcPr>
            <w:tcW w:w="3304" w:type="dxa"/>
          </w:tcPr>
          <w:p w14:paraId="6C89A458" w14:textId="77777777" w:rsidR="00EC6E00" w:rsidRDefault="004D5913" w:rsidP="004D5913">
            <w:pPr>
              <w:jc w:val="center"/>
            </w:pPr>
            <w:r>
              <w:t>1.3</w:t>
            </w:r>
          </w:p>
        </w:tc>
      </w:tr>
    </w:tbl>
    <w:p w14:paraId="06D73503" w14:textId="77777777" w:rsidR="00312013" w:rsidRDefault="00312013" w:rsidP="004D5913">
      <w:pPr>
        <w:ind w:hanging="567"/>
        <w:jc w:val="center"/>
        <w:rPr>
          <w:noProof/>
          <w:lang w:eastAsia="ru-RU"/>
        </w:rPr>
      </w:pPr>
    </w:p>
    <w:p w14:paraId="09197B0D" w14:textId="77777777" w:rsidR="008F340D" w:rsidRPr="004D5913" w:rsidRDefault="004D5913" w:rsidP="004D5913">
      <w:pPr>
        <w:ind w:hanging="567"/>
        <w:jc w:val="center"/>
      </w:pPr>
      <w:r>
        <w:rPr>
          <w:noProof/>
        </w:rPr>
        <w:drawing>
          <wp:inline distT="0" distB="0" distL="0" distR="0" wp14:anchorId="796DE6AB" wp14:editId="08372A5B">
            <wp:extent cx="6957391" cy="348395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272" cy="34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255B9" w14:textId="77777777" w:rsidR="0011288A" w:rsidRDefault="00BE329D" w:rsidP="00BE329D">
      <w:pPr>
        <w:jc w:val="center"/>
      </w:pPr>
      <w:r>
        <w:t>Fig. 1. Extract of sectional view of a building</w:t>
      </w:r>
    </w:p>
    <w:p w14:paraId="55EF764B" w14:textId="77777777" w:rsidR="00BE329D" w:rsidRDefault="00BE329D" w:rsidP="00BE329D">
      <w:pPr>
        <w:ind w:hanging="567"/>
        <w:jc w:val="center"/>
      </w:pPr>
      <w:r>
        <w:rPr>
          <w:noProof/>
        </w:rPr>
        <w:drawing>
          <wp:inline distT="0" distB="0" distL="0" distR="0" wp14:anchorId="47609ED4" wp14:editId="60BA0694">
            <wp:extent cx="6926443" cy="35052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25" cy="350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FE26" w14:textId="77777777" w:rsidR="00312013" w:rsidRDefault="00BE329D" w:rsidP="00312013">
      <w:pPr>
        <w:jc w:val="center"/>
      </w:pPr>
      <w:r>
        <w:t>Fig. 2. Plan of a normal floor</w:t>
      </w:r>
    </w:p>
    <w:p w14:paraId="54B7EF04" w14:textId="7C8D0360" w:rsidR="00BE329D" w:rsidRDefault="00312013" w:rsidP="00312013">
      <w:pPr>
        <w:ind w:firstLine="708"/>
      </w:pPr>
      <w:r>
        <w:t>Consumption of materials per 1 m</w:t>
      </w:r>
      <w:r>
        <w:rPr>
          <w:vertAlign w:val="superscript"/>
        </w:rPr>
        <w:t xml:space="preserve">2 </w:t>
      </w:r>
      <w:r>
        <w:t xml:space="preserve">are given in Table 2. </w:t>
      </w:r>
    </w:p>
    <w:p w14:paraId="2F5945EB" w14:textId="77777777" w:rsidR="00312013" w:rsidRDefault="00312013" w:rsidP="00312013">
      <w:pPr>
        <w:ind w:firstLine="708"/>
      </w:pPr>
      <w:r>
        <w:lastRenderedPageBreak/>
        <w:t>Table 2 - Consumption of materials per 1 m</w:t>
      </w:r>
      <w:r>
        <w:rPr>
          <w:vertAlign w:val="superscript"/>
        </w:rPr>
        <w:t>2</w:t>
      </w:r>
      <w:r>
        <w:t xml:space="preserve"> of floor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7"/>
        <w:gridCol w:w="4105"/>
      </w:tblGrid>
      <w:tr w:rsidR="00E12753" w14:paraId="6529A20D" w14:textId="77777777" w:rsidTr="00E12753">
        <w:tc>
          <w:tcPr>
            <w:tcW w:w="5807" w:type="dxa"/>
          </w:tcPr>
          <w:p w14:paraId="0EDC1D91" w14:textId="77777777" w:rsidR="00E12753" w:rsidRDefault="00E12753" w:rsidP="00E12753">
            <w:pPr>
              <w:jc w:val="center"/>
              <w:rPr>
                <w:rFonts w:cs="Times New Roman"/>
                <w:szCs w:val="24"/>
              </w:rPr>
            </w:pPr>
            <w:r>
              <w:t>Expendable indicator</w:t>
            </w:r>
          </w:p>
        </w:tc>
        <w:tc>
          <w:tcPr>
            <w:tcW w:w="4105" w:type="dxa"/>
          </w:tcPr>
          <w:p w14:paraId="2D670B4F" w14:textId="77777777" w:rsidR="00E12753" w:rsidRDefault="00E12753" w:rsidP="00E12753">
            <w:pPr>
              <w:jc w:val="center"/>
              <w:rPr>
                <w:rFonts w:cs="Times New Roman"/>
                <w:szCs w:val="24"/>
              </w:rPr>
            </w:pPr>
            <w:r>
              <w:t>Indicator value</w:t>
            </w:r>
          </w:p>
        </w:tc>
      </w:tr>
      <w:tr w:rsidR="00E12753" w14:paraId="363714CC" w14:textId="77777777" w:rsidTr="00E12753">
        <w:tc>
          <w:tcPr>
            <w:tcW w:w="5807" w:type="dxa"/>
          </w:tcPr>
          <w:p w14:paraId="093AAA16" w14:textId="17F89692" w:rsidR="00E12753" w:rsidRDefault="00B04BD0" w:rsidP="00312013">
            <w:pPr>
              <w:rPr>
                <w:rFonts w:cs="Times New Roman"/>
                <w:szCs w:val="24"/>
              </w:rPr>
            </w:pPr>
            <w:r>
              <w:t>Cast-in-place</w:t>
            </w:r>
            <w:r w:rsidR="00E12753">
              <w:t xml:space="preserve"> concrete B35</w:t>
            </w:r>
          </w:p>
        </w:tc>
        <w:tc>
          <w:tcPr>
            <w:tcW w:w="4105" w:type="dxa"/>
          </w:tcPr>
          <w:p w14:paraId="2A9BCDE8" w14:textId="77777777" w:rsidR="00E12753" w:rsidRDefault="00F84684" w:rsidP="00A138B3">
            <w:pPr>
              <w:jc w:val="center"/>
              <w:rPr>
                <w:rFonts w:cs="Times New Roman"/>
                <w:szCs w:val="24"/>
              </w:rPr>
            </w:pPr>
            <w:r>
              <w:t>0,33 m</w:t>
            </w:r>
            <w:r>
              <w:rPr>
                <w:vertAlign w:val="superscript"/>
              </w:rPr>
              <w:t>3</w:t>
            </w:r>
            <w:r>
              <w:t>/m</w:t>
            </w:r>
            <w:r>
              <w:rPr>
                <w:vertAlign w:val="superscript"/>
              </w:rPr>
              <w:t>2</w:t>
            </w:r>
          </w:p>
        </w:tc>
      </w:tr>
      <w:tr w:rsidR="00E12753" w14:paraId="0BA03113" w14:textId="77777777" w:rsidTr="00E12753">
        <w:tc>
          <w:tcPr>
            <w:tcW w:w="5807" w:type="dxa"/>
          </w:tcPr>
          <w:p w14:paraId="7A25B5F0" w14:textId="77777777" w:rsidR="00E12753" w:rsidRDefault="00E12753" w:rsidP="00312013">
            <w:pPr>
              <w:rPr>
                <w:rFonts w:cs="Times New Roman"/>
                <w:szCs w:val="24"/>
              </w:rPr>
            </w:pPr>
            <w:r>
              <w:t>Reinforcement А500 С</w:t>
            </w:r>
          </w:p>
        </w:tc>
        <w:tc>
          <w:tcPr>
            <w:tcW w:w="4105" w:type="dxa"/>
          </w:tcPr>
          <w:p w14:paraId="13C1C49B" w14:textId="48C772E2" w:rsidR="00E12753" w:rsidRDefault="00F84684" w:rsidP="00A138B3">
            <w:pPr>
              <w:jc w:val="center"/>
              <w:rPr>
                <w:rFonts w:cs="Times New Roman"/>
                <w:szCs w:val="24"/>
              </w:rPr>
            </w:pPr>
            <w:r>
              <w:t>42,49 kg/m</w:t>
            </w:r>
            <w:r>
              <w:rPr>
                <w:vertAlign w:val="superscript"/>
              </w:rPr>
              <w:t>2</w:t>
            </w:r>
          </w:p>
        </w:tc>
      </w:tr>
      <w:tr w:rsidR="00E12753" w14:paraId="102DD5E5" w14:textId="77777777" w:rsidTr="00E12753">
        <w:tc>
          <w:tcPr>
            <w:tcW w:w="5807" w:type="dxa"/>
          </w:tcPr>
          <w:p w14:paraId="1B875350" w14:textId="628D49B7" w:rsidR="00E12753" w:rsidRPr="00F703BE" w:rsidRDefault="00E12753" w:rsidP="00E12753">
            <w:pPr>
              <w:rPr>
                <w:szCs w:val="24"/>
              </w:rPr>
            </w:pPr>
            <w:r>
              <w:t xml:space="preserve">Strands К-7 </w:t>
            </w:r>
            <w:r>
              <w:rPr>
                <w:sz w:val="20"/>
              </w:rPr>
              <w:t>Ø</w:t>
            </w:r>
            <w:r>
              <w:t xml:space="preserve">15,7 mm 1860 mPa without </w:t>
            </w:r>
            <w:r w:rsidR="00F703BE">
              <w:t>sheathe</w:t>
            </w:r>
          </w:p>
        </w:tc>
        <w:tc>
          <w:tcPr>
            <w:tcW w:w="4105" w:type="dxa"/>
          </w:tcPr>
          <w:p w14:paraId="3193DA63" w14:textId="742D5015" w:rsidR="00E12753" w:rsidRDefault="00602B2B" w:rsidP="00602B2B">
            <w:pPr>
              <w:jc w:val="center"/>
              <w:rPr>
                <w:rFonts w:cs="Times New Roman"/>
                <w:szCs w:val="24"/>
              </w:rPr>
            </w:pPr>
            <w:r>
              <w:t>11,17 kg/m</w:t>
            </w:r>
            <w:r>
              <w:rPr>
                <w:vertAlign w:val="superscript"/>
              </w:rPr>
              <w:t xml:space="preserve">2 </w:t>
            </w:r>
            <w:r>
              <w:t>*</w:t>
            </w:r>
          </w:p>
        </w:tc>
      </w:tr>
      <w:tr w:rsidR="00E12753" w14:paraId="37DFC462" w14:textId="77777777" w:rsidTr="00E12753">
        <w:tc>
          <w:tcPr>
            <w:tcW w:w="5807" w:type="dxa"/>
          </w:tcPr>
          <w:p w14:paraId="49736212" w14:textId="77777777" w:rsidR="00E12753" w:rsidRDefault="00E12753" w:rsidP="00312013">
            <w:pPr>
              <w:rPr>
                <w:rFonts w:cs="Times New Roman"/>
                <w:szCs w:val="24"/>
              </w:rPr>
            </w:pPr>
            <w:r>
              <w:t>Anchors AKS-13</w:t>
            </w:r>
          </w:p>
        </w:tc>
        <w:tc>
          <w:tcPr>
            <w:tcW w:w="4105" w:type="dxa"/>
          </w:tcPr>
          <w:p w14:paraId="6A862900" w14:textId="77777777" w:rsidR="00E12753" w:rsidRDefault="00E54A5C" w:rsidP="00602B2B">
            <w:pPr>
              <w:jc w:val="center"/>
              <w:rPr>
                <w:rFonts w:cs="Times New Roman"/>
                <w:szCs w:val="24"/>
              </w:rPr>
            </w:pPr>
            <w:r>
              <w:t>0,022 pcs/m</w:t>
            </w:r>
            <w:r>
              <w:rPr>
                <w:vertAlign w:val="superscript"/>
              </w:rPr>
              <w:t>2</w:t>
            </w:r>
          </w:p>
        </w:tc>
      </w:tr>
      <w:tr w:rsidR="00E12753" w14:paraId="0DE81CCF" w14:textId="77777777" w:rsidTr="00E12753">
        <w:tc>
          <w:tcPr>
            <w:tcW w:w="5807" w:type="dxa"/>
          </w:tcPr>
          <w:p w14:paraId="1E7DC636" w14:textId="77777777" w:rsidR="00E12753" w:rsidRDefault="00E12753" w:rsidP="00E12753">
            <w:pPr>
              <w:rPr>
                <w:szCs w:val="24"/>
              </w:rPr>
            </w:pPr>
            <w:r>
              <w:t>Steel duct D</w:t>
            </w:r>
            <w:r>
              <w:rPr>
                <w:vertAlign w:val="subscript"/>
              </w:rPr>
              <w:t>int</w:t>
            </w:r>
            <w:r>
              <w:t>=85 mm</w:t>
            </w:r>
          </w:p>
        </w:tc>
        <w:tc>
          <w:tcPr>
            <w:tcW w:w="4105" w:type="dxa"/>
          </w:tcPr>
          <w:p w14:paraId="5A29BA97" w14:textId="77777777" w:rsidR="00E12753" w:rsidRDefault="00A138B3" w:rsidP="004E5537">
            <w:pPr>
              <w:jc w:val="center"/>
              <w:rPr>
                <w:rFonts w:cs="Times New Roman"/>
                <w:szCs w:val="24"/>
              </w:rPr>
            </w:pPr>
            <w:r>
              <w:t>0,72 m/m</w:t>
            </w:r>
            <w:r>
              <w:rPr>
                <w:vertAlign w:val="superscript"/>
              </w:rPr>
              <w:t>2</w:t>
            </w:r>
          </w:p>
        </w:tc>
      </w:tr>
    </w:tbl>
    <w:p w14:paraId="1CA5DE89" w14:textId="77777777" w:rsidR="00312013" w:rsidRPr="004E5537" w:rsidRDefault="004E5537" w:rsidP="0073184C">
      <w:pPr>
        <w:ind w:firstLine="708"/>
      </w:pPr>
      <w:r>
        <w:t>* with regard to off-gauge of coils</w:t>
      </w:r>
    </w:p>
    <w:p w14:paraId="2256DD20" w14:textId="77777777" w:rsidR="00312013" w:rsidRPr="00312013" w:rsidRDefault="00312013" w:rsidP="00312013"/>
    <w:sectPr w:rsidR="00312013" w:rsidRPr="00312013" w:rsidSect="001128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81756"/>
    <w:multiLevelType w:val="hybridMultilevel"/>
    <w:tmpl w:val="F8EADA3C"/>
    <w:lvl w:ilvl="0" w:tplc="81FAE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0206"/>
    <w:multiLevelType w:val="hybridMultilevel"/>
    <w:tmpl w:val="3CF28F26"/>
    <w:lvl w:ilvl="0" w:tplc="139CCFAA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5223E2"/>
    <w:multiLevelType w:val="hybridMultilevel"/>
    <w:tmpl w:val="9CC24CD4"/>
    <w:lvl w:ilvl="0" w:tplc="E418F46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B43039F"/>
    <w:multiLevelType w:val="hybridMultilevel"/>
    <w:tmpl w:val="288AB55C"/>
    <w:lvl w:ilvl="0" w:tplc="81FAE4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9F"/>
    <w:rsid w:val="0011288A"/>
    <w:rsid w:val="00125C83"/>
    <w:rsid w:val="001F1E37"/>
    <w:rsid w:val="00207385"/>
    <w:rsid w:val="00312013"/>
    <w:rsid w:val="00380C5E"/>
    <w:rsid w:val="003F5A31"/>
    <w:rsid w:val="004D5913"/>
    <w:rsid w:val="004E5537"/>
    <w:rsid w:val="005F529F"/>
    <w:rsid w:val="00602B2B"/>
    <w:rsid w:val="0073184C"/>
    <w:rsid w:val="007A72D7"/>
    <w:rsid w:val="008005F6"/>
    <w:rsid w:val="008F340D"/>
    <w:rsid w:val="00A138B3"/>
    <w:rsid w:val="00B04BD0"/>
    <w:rsid w:val="00B50DAA"/>
    <w:rsid w:val="00B613BE"/>
    <w:rsid w:val="00BD3B48"/>
    <w:rsid w:val="00BE329D"/>
    <w:rsid w:val="00C26D5E"/>
    <w:rsid w:val="00C85A8D"/>
    <w:rsid w:val="00D267A2"/>
    <w:rsid w:val="00D451D6"/>
    <w:rsid w:val="00E12753"/>
    <w:rsid w:val="00E54A5C"/>
    <w:rsid w:val="00E90AC2"/>
    <w:rsid w:val="00EC6E00"/>
    <w:rsid w:val="00F703BE"/>
    <w:rsid w:val="00F8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8F4E"/>
  <w15:chartTrackingRefBased/>
  <w15:docId w15:val="{BE4AC3B0-410B-4E13-B29A-B755027D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88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F1E3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link w:val="a3"/>
    <w:uiPriority w:val="1"/>
    <w:rsid w:val="001F1E37"/>
  </w:style>
  <w:style w:type="table" w:styleId="a5">
    <w:name w:val="Table Grid"/>
    <w:basedOn w:val="a1"/>
    <w:uiPriority w:val="39"/>
    <w:rsid w:val="00EC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481</Words>
  <Characters>2174</Characters>
  <Application>Microsoft Office Word</Application>
  <DocSecurity>0</DocSecurity>
  <Lines>65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Горячкин</dc:creator>
  <cp:keywords/>
  <dc:description/>
  <cp:lastModifiedBy>Elena</cp:lastModifiedBy>
  <cp:revision>19</cp:revision>
  <dcterms:created xsi:type="dcterms:W3CDTF">2018-12-06T09:22:00Z</dcterms:created>
  <dcterms:modified xsi:type="dcterms:W3CDTF">2020-05-27T11:02:00Z</dcterms:modified>
</cp:coreProperties>
</file>